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4CD" w:rsidRPr="00A06E82" w:rsidRDefault="00A14592" w:rsidP="00A14592">
      <w:pPr>
        <w:pStyle w:val="aa"/>
        <w:ind w:firstLine="851"/>
        <w:rPr>
          <w:lang w:val="ru-RU"/>
        </w:rPr>
      </w:pPr>
      <w:r w:rsidRPr="00A06E82">
        <w:rPr>
          <w:lang w:val="ru-RU"/>
        </w:rPr>
        <w:t>Порядок приемки и настройки приборов учета газа с дистанционной передачей данных</w:t>
      </w:r>
    </w:p>
    <w:p w:rsidR="000D34CD" w:rsidRPr="00A06E82" w:rsidRDefault="00A14592" w:rsidP="00A14592">
      <w:pPr>
        <w:ind w:firstLine="851"/>
        <w:jc w:val="both"/>
        <w:rPr>
          <w:lang w:val="ru-RU"/>
        </w:rPr>
      </w:pPr>
      <w:r w:rsidRPr="00A06E82">
        <w:rPr>
          <w:lang w:val="ru-RU"/>
        </w:rPr>
        <w:t xml:space="preserve">Для новых потребителей, получивших технические условия на подключение к газораспределительной системе после 24 августа 2026 года, применяется </w:t>
      </w:r>
      <w:r w:rsidR="00A06E82">
        <w:rPr>
          <w:lang w:val="ru-RU"/>
        </w:rPr>
        <w:t xml:space="preserve">требование обязательной установки </w:t>
      </w:r>
      <w:r w:rsidRPr="00A06E82">
        <w:rPr>
          <w:lang w:val="ru-RU"/>
        </w:rPr>
        <w:t>прибор</w:t>
      </w:r>
      <w:r w:rsidR="00A06E82">
        <w:rPr>
          <w:lang w:val="ru-RU"/>
        </w:rPr>
        <w:t>ов</w:t>
      </w:r>
      <w:r w:rsidRPr="00A06E82">
        <w:rPr>
          <w:lang w:val="ru-RU"/>
        </w:rPr>
        <w:t xml:space="preserve"> учета газа с возможностью</w:t>
      </w:r>
      <w:r w:rsidRPr="00A06E82">
        <w:rPr>
          <w:lang w:val="ru-RU"/>
        </w:rPr>
        <w:t xml:space="preserve"> дистанционной передачи данных. Потребитель приобретает прибор самостоятельно. Приемка объекта и пуск газа проводятся в установленном порядке; настройка передачи данных зависит от готовности интеграции конкретной модели с платформой АО «</w:t>
      </w:r>
      <w:r>
        <w:t>QazaqGaz</w:t>
      </w:r>
      <w:r w:rsidRPr="00A06E82">
        <w:rPr>
          <w:lang w:val="ru-RU"/>
        </w:rPr>
        <w:t xml:space="preserve"> </w:t>
      </w:r>
      <w:r>
        <w:t>Aimaq</w:t>
      </w:r>
      <w:r w:rsidRPr="00A06E82">
        <w:rPr>
          <w:lang w:val="ru-RU"/>
        </w:rPr>
        <w:t>».</w:t>
      </w:r>
    </w:p>
    <w:p w:rsidR="000D34CD" w:rsidRPr="00A06E82" w:rsidRDefault="00A14592" w:rsidP="00A14592">
      <w:pPr>
        <w:pStyle w:val="1"/>
        <w:ind w:firstLine="851"/>
        <w:jc w:val="both"/>
        <w:rPr>
          <w:lang w:val="ru-RU"/>
        </w:rPr>
      </w:pPr>
      <w:r w:rsidRPr="00A06E82">
        <w:rPr>
          <w:lang w:val="ru-RU"/>
        </w:rPr>
        <w:t xml:space="preserve">1 </w:t>
      </w:r>
      <w:r w:rsidRPr="00A06E82">
        <w:rPr>
          <w:lang w:val="ru-RU"/>
        </w:rPr>
        <w:t>Требования к прибору учета</w:t>
      </w:r>
    </w:p>
    <w:p w:rsidR="000D34CD" w:rsidRPr="00A06E82" w:rsidRDefault="00A14592" w:rsidP="00A14592">
      <w:pPr>
        <w:ind w:firstLine="851"/>
        <w:jc w:val="both"/>
        <w:rPr>
          <w:lang w:val="ru-RU"/>
        </w:rPr>
      </w:pPr>
      <w:r w:rsidRPr="00A06E82">
        <w:rPr>
          <w:b/>
          <w:lang w:val="ru-RU"/>
        </w:rPr>
        <w:t xml:space="preserve">Государственная регистрация. </w:t>
      </w:r>
      <w:r w:rsidRPr="00A06E82">
        <w:rPr>
          <w:lang w:val="ru-RU"/>
        </w:rPr>
        <w:t>Модель прибора учета должна быть внесена в реестр средств измерений Республики Казахстан и отвечать требованиям законодательства об обеспечении единства измерений. Потребитель вправе выбрать прибор лю</w:t>
      </w:r>
      <w:r w:rsidRPr="00A06E82">
        <w:rPr>
          <w:lang w:val="ru-RU"/>
        </w:rPr>
        <w:t>бого производителя, соответствующий этим требованиям.</w:t>
      </w:r>
    </w:p>
    <w:p w:rsidR="000D34CD" w:rsidRPr="00A06E82" w:rsidRDefault="00A14592" w:rsidP="00A14592">
      <w:pPr>
        <w:ind w:firstLine="851"/>
        <w:jc w:val="both"/>
        <w:rPr>
          <w:lang w:val="ru-RU"/>
        </w:rPr>
      </w:pPr>
      <w:r w:rsidRPr="00A06E82">
        <w:rPr>
          <w:b/>
          <w:lang w:val="ru-RU"/>
        </w:rPr>
        <w:t xml:space="preserve">Дистанционная передача данных. </w:t>
      </w:r>
      <w:r w:rsidRPr="00A06E82">
        <w:rPr>
          <w:lang w:val="ru-RU"/>
        </w:rPr>
        <w:t>Допускается прибор со встроенным модулем передачи данных, а также прибор с внешним модулем передачи данных. Во втором случае возможность подключения модуля, учета импульсо</w:t>
      </w:r>
      <w:r w:rsidRPr="00A06E82">
        <w:rPr>
          <w:lang w:val="ru-RU"/>
        </w:rPr>
        <w:t>в и передачи данных должна быть предусмотрена заводской конструкцией и эксплуатационной документацией производителя прибора учета. Самовольная доработка прибора для подключения модема не допускается.</w:t>
      </w:r>
    </w:p>
    <w:p w:rsidR="000D34CD" w:rsidRPr="00A06E82" w:rsidRDefault="00A14592" w:rsidP="00A14592">
      <w:pPr>
        <w:pStyle w:val="1"/>
        <w:ind w:firstLine="851"/>
        <w:jc w:val="both"/>
        <w:rPr>
          <w:lang w:val="ru-RU"/>
        </w:rPr>
      </w:pPr>
      <w:r w:rsidRPr="00A06E82">
        <w:rPr>
          <w:lang w:val="ru-RU"/>
        </w:rPr>
        <w:t>2 Приемка объекта</w:t>
      </w:r>
    </w:p>
    <w:p w:rsidR="000D34CD" w:rsidRPr="00A06E82" w:rsidRDefault="00A14592" w:rsidP="00A14592">
      <w:pPr>
        <w:ind w:firstLine="851"/>
        <w:jc w:val="both"/>
        <w:rPr>
          <w:lang w:val="ru-RU"/>
        </w:rPr>
      </w:pPr>
      <w:r w:rsidRPr="00A06E82">
        <w:rPr>
          <w:lang w:val="ru-RU"/>
        </w:rPr>
        <w:t>После завершения монтажных работ потре</w:t>
      </w:r>
      <w:r w:rsidRPr="00A06E82">
        <w:rPr>
          <w:lang w:val="ru-RU"/>
        </w:rPr>
        <w:t>битель подает в АО «</w:t>
      </w:r>
      <w:r>
        <w:t>QazaqGaz</w:t>
      </w:r>
      <w:r w:rsidRPr="00A06E82">
        <w:rPr>
          <w:lang w:val="ru-RU"/>
        </w:rPr>
        <w:t xml:space="preserve"> </w:t>
      </w:r>
      <w:r>
        <w:t>Aimaq</w:t>
      </w:r>
      <w:r w:rsidRPr="00A06E82">
        <w:rPr>
          <w:lang w:val="ru-RU"/>
        </w:rPr>
        <w:t>» заявку на приемку объекта. Приемку проводят по установленному порядку с проверкой соответствия объекта проекту и техническим условиям.</w:t>
      </w:r>
    </w:p>
    <w:p w:rsidR="000D34CD" w:rsidRPr="00A06E82" w:rsidRDefault="00A14592" w:rsidP="00A14592">
      <w:pPr>
        <w:ind w:firstLine="851"/>
        <w:jc w:val="both"/>
        <w:rPr>
          <w:lang w:val="ru-RU"/>
        </w:rPr>
      </w:pPr>
      <w:r w:rsidRPr="00A06E82">
        <w:rPr>
          <w:lang w:val="ru-RU"/>
        </w:rPr>
        <w:t>При осмотре сотрудник дополнительно проверяет модель и заводской номер прибора учета,</w:t>
      </w:r>
      <w:r w:rsidRPr="00A06E82">
        <w:rPr>
          <w:lang w:val="ru-RU"/>
        </w:rPr>
        <w:t xml:space="preserve"> наличие модели в реестре средств измерений Республики Казахстан и техническую возможность дистанционной передачи данных. Если установлен внешний модуль, проверяется предусмотренная производителем совместимость прибора и модуля.</w:t>
      </w:r>
    </w:p>
    <w:p w:rsidR="000D34CD" w:rsidRPr="00A06E82" w:rsidRDefault="00A14592" w:rsidP="00A14592">
      <w:pPr>
        <w:ind w:firstLine="851"/>
        <w:jc w:val="both"/>
        <w:rPr>
          <w:lang w:val="ru-RU"/>
        </w:rPr>
      </w:pPr>
      <w:r w:rsidRPr="00A06E82">
        <w:rPr>
          <w:lang w:val="ru-RU"/>
        </w:rPr>
        <w:t>Отсутствие готовой интеграции</w:t>
      </w:r>
      <w:r w:rsidR="00A06E82">
        <w:rPr>
          <w:lang w:val="ru-RU"/>
        </w:rPr>
        <w:t xml:space="preserve"> </w:t>
      </w:r>
      <w:proofErr w:type="gramStart"/>
      <w:r w:rsidR="00A06E82">
        <w:rPr>
          <w:lang w:val="ru-RU"/>
        </w:rPr>
        <w:t xml:space="preserve">системой </w:t>
      </w:r>
      <w:r w:rsidRPr="00A06E82">
        <w:rPr>
          <w:lang w:val="ru-RU"/>
        </w:rPr>
        <w:t xml:space="preserve"> </w:t>
      </w:r>
      <w:r w:rsidR="00A06E82" w:rsidRPr="00A06E82">
        <w:rPr>
          <w:lang w:val="ru-RU"/>
        </w:rPr>
        <w:t>АО</w:t>
      </w:r>
      <w:proofErr w:type="gramEnd"/>
      <w:r w:rsidR="00A06E82" w:rsidRPr="00A06E82">
        <w:rPr>
          <w:lang w:val="ru-RU"/>
        </w:rPr>
        <w:t xml:space="preserve"> «</w:t>
      </w:r>
      <w:r w:rsidR="00A06E82">
        <w:t>QazaqGaz</w:t>
      </w:r>
      <w:r w:rsidR="00A06E82" w:rsidRPr="00A06E82">
        <w:rPr>
          <w:lang w:val="ru-RU"/>
        </w:rPr>
        <w:t xml:space="preserve"> </w:t>
      </w:r>
      <w:r w:rsidR="00A06E82">
        <w:t>Aimaq</w:t>
      </w:r>
      <w:r w:rsidR="00A06E82" w:rsidRPr="00A06E82">
        <w:rPr>
          <w:lang w:val="ru-RU"/>
        </w:rPr>
        <w:t>»</w:t>
      </w:r>
      <w:r w:rsidR="00A06E82">
        <w:rPr>
          <w:lang w:val="ru-RU"/>
        </w:rPr>
        <w:t xml:space="preserve"> </w:t>
      </w:r>
      <w:r w:rsidRPr="00A06E82">
        <w:rPr>
          <w:lang w:val="ru-RU"/>
        </w:rPr>
        <w:t>при подтвержденной технической возможности передачи данн</w:t>
      </w:r>
      <w:r w:rsidRPr="00A06E82">
        <w:rPr>
          <w:lang w:val="ru-RU"/>
        </w:rPr>
        <w:t>ых само по себе не препятствует приемке прибора</w:t>
      </w:r>
      <w:r w:rsidR="00A06E82">
        <w:rPr>
          <w:lang w:val="ru-RU"/>
        </w:rPr>
        <w:t xml:space="preserve"> и объекта</w:t>
      </w:r>
      <w:r w:rsidRPr="00A06E82">
        <w:rPr>
          <w:lang w:val="ru-RU"/>
        </w:rPr>
        <w:t>.</w:t>
      </w:r>
    </w:p>
    <w:p w:rsidR="000D34CD" w:rsidRPr="00A06E82" w:rsidRDefault="00A14592" w:rsidP="00A14592">
      <w:pPr>
        <w:pStyle w:val="1"/>
        <w:pageBreakBefore/>
        <w:ind w:firstLine="851"/>
        <w:jc w:val="both"/>
        <w:rPr>
          <w:lang w:val="ru-RU"/>
        </w:rPr>
      </w:pPr>
      <w:r w:rsidRPr="00A06E82">
        <w:rPr>
          <w:lang w:val="ru-RU"/>
        </w:rPr>
        <w:lastRenderedPageBreak/>
        <w:t>3 Пуск газа и настройка интегрированной модели</w:t>
      </w:r>
    </w:p>
    <w:p w:rsidR="000D34CD" w:rsidRPr="00A06E82" w:rsidRDefault="00A14592" w:rsidP="00A14592">
      <w:pPr>
        <w:ind w:firstLine="851"/>
        <w:jc w:val="both"/>
        <w:rPr>
          <w:lang w:val="ru-RU"/>
        </w:rPr>
      </w:pPr>
      <w:r w:rsidRPr="00A06E82">
        <w:rPr>
          <w:lang w:val="ru-RU"/>
        </w:rPr>
        <w:t xml:space="preserve">После приемки потребитель подает отдельную заявку на </w:t>
      </w:r>
      <w:r w:rsidR="00A06E82">
        <w:rPr>
          <w:lang w:val="ru-RU"/>
        </w:rPr>
        <w:t>врезку</w:t>
      </w:r>
      <w:r w:rsidRPr="00A06E82">
        <w:rPr>
          <w:lang w:val="ru-RU"/>
        </w:rPr>
        <w:t xml:space="preserve"> и пуск газа. Сотрудники Общества </w:t>
      </w:r>
      <w:r w:rsidR="00A06E82">
        <w:rPr>
          <w:lang w:val="ru-RU"/>
        </w:rPr>
        <w:t xml:space="preserve">или подрядные организации </w:t>
      </w:r>
      <w:r w:rsidRPr="00A06E82">
        <w:rPr>
          <w:lang w:val="ru-RU"/>
        </w:rPr>
        <w:t>выезжают на объект, выполняют необходимые работы по подключени</w:t>
      </w:r>
      <w:r w:rsidRPr="00A06E82">
        <w:rPr>
          <w:lang w:val="ru-RU"/>
        </w:rPr>
        <w:t>ю и пуску газа в установленном порядке.</w:t>
      </w:r>
    </w:p>
    <w:p w:rsidR="000D34CD" w:rsidRPr="00A06E82" w:rsidRDefault="00A14592" w:rsidP="00A14592">
      <w:pPr>
        <w:ind w:firstLine="851"/>
        <w:jc w:val="both"/>
        <w:rPr>
          <w:lang w:val="ru-RU"/>
        </w:rPr>
      </w:pPr>
      <w:r w:rsidRPr="00A06E82">
        <w:rPr>
          <w:lang w:val="ru-RU"/>
        </w:rPr>
        <w:t xml:space="preserve">Если для модели уже действует интеграция с платформой управления приборами учета Общества, при выезде настраивают прибор: устанавливают </w:t>
      </w:r>
      <w:r>
        <w:t>SIM</w:t>
      </w:r>
      <w:r w:rsidRPr="00A06E82">
        <w:rPr>
          <w:lang w:val="ru-RU"/>
        </w:rPr>
        <w:t xml:space="preserve">-карту, </w:t>
      </w:r>
      <w:r w:rsidRPr="00A06E82">
        <w:rPr>
          <w:lang w:val="ru-RU"/>
        </w:rPr>
        <w:t>задают параметры связи, проверяю</w:t>
      </w:r>
      <w:r w:rsidRPr="00A06E82">
        <w:rPr>
          <w:lang w:val="ru-RU"/>
        </w:rPr>
        <w:t>т передачу данных и привязывают заводской номер к лицевому счету потребителя.</w:t>
      </w:r>
    </w:p>
    <w:p w:rsidR="000D34CD" w:rsidRPr="00A06E82" w:rsidRDefault="00A14592" w:rsidP="00A14592">
      <w:pPr>
        <w:ind w:firstLine="851"/>
        <w:jc w:val="both"/>
        <w:rPr>
          <w:lang w:val="ru-RU"/>
        </w:rPr>
      </w:pPr>
      <w:r w:rsidRPr="00A06E82">
        <w:rPr>
          <w:lang w:val="ru-RU"/>
        </w:rPr>
        <w:t>Если постоянный лицевой счет к моменту пуска газа еще не активирован, для первоначальной настройки допускается временная привязка прибора к тестовому лицевому счету. Такая привяз</w:t>
      </w:r>
      <w:r w:rsidRPr="00A06E82">
        <w:rPr>
          <w:lang w:val="ru-RU"/>
        </w:rPr>
        <w:t xml:space="preserve">ка используется только для технической проверки и не служит основанием для начислений потребителю. После активации постоянного лицевого счета ответственное подразделение удаленно </w:t>
      </w:r>
      <w:r w:rsidR="00A06E82">
        <w:rPr>
          <w:lang w:val="ru-RU"/>
        </w:rPr>
        <w:t xml:space="preserve">в системе управления приборами учета </w:t>
      </w:r>
      <w:r w:rsidRPr="00A06E82">
        <w:rPr>
          <w:lang w:val="ru-RU"/>
        </w:rPr>
        <w:t>меняет привязку, проверяет соответствие заводского номера и поступление данны</w:t>
      </w:r>
      <w:r w:rsidRPr="00A06E82">
        <w:rPr>
          <w:lang w:val="ru-RU"/>
        </w:rPr>
        <w:t>х по нужному счету.</w:t>
      </w:r>
    </w:p>
    <w:p w:rsidR="000D34CD" w:rsidRPr="00A06E82" w:rsidRDefault="00A14592" w:rsidP="00A14592">
      <w:pPr>
        <w:pStyle w:val="1"/>
        <w:ind w:firstLine="851"/>
        <w:jc w:val="both"/>
        <w:rPr>
          <w:lang w:val="ru-RU"/>
        </w:rPr>
      </w:pPr>
      <w:r w:rsidRPr="00A06E82">
        <w:rPr>
          <w:lang w:val="ru-RU"/>
        </w:rPr>
        <w:t>4 Пуск газа при отсутствии интеграции</w:t>
      </w:r>
    </w:p>
    <w:p w:rsidR="000D34CD" w:rsidRPr="00A06E82" w:rsidRDefault="00A14592" w:rsidP="00A14592">
      <w:pPr>
        <w:ind w:firstLine="851"/>
        <w:jc w:val="both"/>
        <w:rPr>
          <w:lang w:val="ru-RU"/>
        </w:rPr>
      </w:pPr>
      <w:r w:rsidRPr="00A06E82">
        <w:rPr>
          <w:lang w:val="ru-RU"/>
        </w:rPr>
        <w:t>Если прибор отвечает требованиям к средствам измерений и конструктивно обеспечивает дистанционную передачу данных, но его модель пока не интегрирована с платформой Общества, прибор принимается и газ</w:t>
      </w:r>
      <w:r w:rsidRPr="00A06E82">
        <w:rPr>
          <w:lang w:val="ru-RU"/>
        </w:rPr>
        <w:t xml:space="preserve"> пускается в установленном порядке. В учетных данных указывают статус «ожидает интеграции». До подключения прибора к платформе фактическая передача данных в </w:t>
      </w:r>
      <w:r w:rsidRPr="00A06E82">
        <w:rPr>
          <w:lang w:val="ru-RU"/>
        </w:rPr>
        <w:t>не осуществляется, а показания учитываются в действующем порядке.</w:t>
      </w:r>
    </w:p>
    <w:p w:rsidR="000D34CD" w:rsidRPr="00A06E82" w:rsidRDefault="00A14592" w:rsidP="00A14592">
      <w:pPr>
        <w:ind w:firstLine="851"/>
        <w:jc w:val="both"/>
        <w:rPr>
          <w:lang w:val="ru-RU"/>
        </w:rPr>
      </w:pPr>
      <w:r w:rsidRPr="00A06E82">
        <w:rPr>
          <w:lang w:val="ru-RU"/>
        </w:rPr>
        <w:t>Интеграцию наиболее распро</w:t>
      </w:r>
      <w:r w:rsidRPr="00A06E82">
        <w:rPr>
          <w:lang w:val="ru-RU"/>
        </w:rPr>
        <w:t xml:space="preserve">страненных моделей предварительно планируется </w:t>
      </w:r>
      <w:r w:rsidR="00A06E82">
        <w:rPr>
          <w:lang w:val="ru-RU"/>
        </w:rPr>
        <w:t>завершить до</w:t>
      </w:r>
      <w:r w:rsidRPr="00A06E82">
        <w:rPr>
          <w:lang w:val="ru-RU"/>
        </w:rPr>
        <w:t xml:space="preserve"> </w:t>
      </w:r>
      <w:r>
        <w:t>II</w:t>
      </w:r>
      <w:r w:rsidRPr="00A06E82">
        <w:rPr>
          <w:lang w:val="ru-RU"/>
        </w:rPr>
        <w:t xml:space="preserve"> квартала 2027 года. Если потребителями самостоятельно установлено </w:t>
      </w:r>
      <w:r w:rsidR="00A06E82">
        <w:rPr>
          <w:lang w:val="ru-RU"/>
        </w:rPr>
        <w:t>существенное количество</w:t>
      </w:r>
      <w:r w:rsidRPr="00A06E82">
        <w:rPr>
          <w:lang w:val="ru-RU"/>
        </w:rPr>
        <w:t xml:space="preserve"> приборов одной модели</w:t>
      </w:r>
      <w:r w:rsidR="00A06E82">
        <w:rPr>
          <w:lang w:val="ru-RU"/>
        </w:rPr>
        <w:t xml:space="preserve"> (более 1% от всех новых подключенных с начала действия поправок по текущий день)</w:t>
      </w:r>
      <w:r w:rsidRPr="00A06E82">
        <w:rPr>
          <w:lang w:val="ru-RU"/>
        </w:rPr>
        <w:t xml:space="preserve">, возможность ее интеграции рассматривается в </w:t>
      </w:r>
      <w:r w:rsidR="00A06E82">
        <w:rPr>
          <w:lang w:val="ru-RU"/>
        </w:rPr>
        <w:t>приоритетном</w:t>
      </w:r>
      <w:r w:rsidRPr="00A06E82">
        <w:rPr>
          <w:lang w:val="ru-RU"/>
        </w:rPr>
        <w:t xml:space="preserve"> порядке. После </w:t>
      </w:r>
      <w:r>
        <w:rPr>
          <w:lang w:val="ru-RU"/>
        </w:rPr>
        <w:t>заве</w:t>
      </w:r>
      <w:bookmarkStart w:id="0" w:name="_GoBack"/>
      <w:bookmarkEnd w:id="0"/>
      <w:r>
        <w:rPr>
          <w:lang w:val="ru-RU"/>
        </w:rPr>
        <w:t>ршения работ по интеграции</w:t>
      </w:r>
      <w:r w:rsidRPr="00A06E82">
        <w:rPr>
          <w:lang w:val="ru-RU"/>
        </w:rPr>
        <w:t xml:space="preserve"> </w:t>
      </w:r>
      <w:r w:rsidRPr="00A06E82">
        <w:rPr>
          <w:lang w:val="ru-RU"/>
        </w:rPr>
        <w:t>приборы настраиваются и переводятся на дистанционную передачу данных.</w:t>
      </w:r>
    </w:p>
    <w:p w:rsidR="000D34CD" w:rsidRPr="00A06E82" w:rsidRDefault="00A14592" w:rsidP="00A14592">
      <w:pPr>
        <w:pStyle w:val="1"/>
        <w:ind w:firstLine="851"/>
        <w:jc w:val="both"/>
        <w:rPr>
          <w:lang w:val="ru-RU"/>
        </w:rPr>
      </w:pPr>
      <w:r w:rsidRPr="00A06E82">
        <w:rPr>
          <w:lang w:val="ru-RU"/>
        </w:rPr>
        <w:t>5 Взаимодействие с производителями и поставщиками</w:t>
      </w:r>
    </w:p>
    <w:p w:rsidR="000D34CD" w:rsidRPr="00A06E82" w:rsidRDefault="00A14592" w:rsidP="00A14592">
      <w:pPr>
        <w:ind w:firstLine="851"/>
        <w:jc w:val="both"/>
        <w:rPr>
          <w:lang w:val="ru-RU"/>
        </w:rPr>
      </w:pPr>
      <w:r>
        <w:rPr>
          <w:lang w:val="ru-RU"/>
        </w:rPr>
        <w:t xml:space="preserve">На текущий день </w:t>
      </w:r>
      <w:r w:rsidRPr="00A06E82">
        <w:rPr>
          <w:lang w:val="ru-RU"/>
        </w:rPr>
        <w:t>АО «</w:t>
      </w:r>
      <w:r>
        <w:t>QazaqGaz</w:t>
      </w:r>
      <w:r w:rsidRPr="00A06E82">
        <w:rPr>
          <w:lang w:val="ru-RU"/>
        </w:rPr>
        <w:t xml:space="preserve"> </w:t>
      </w:r>
      <w:r>
        <w:t>Aimaq</w:t>
      </w:r>
      <w:r w:rsidRPr="00A06E82">
        <w:rPr>
          <w:lang w:val="ru-RU"/>
        </w:rPr>
        <w:t>»</w:t>
      </w:r>
      <w:r>
        <w:rPr>
          <w:lang w:val="ru-RU"/>
        </w:rPr>
        <w:t xml:space="preserve"> </w:t>
      </w:r>
      <w:r w:rsidRPr="00A06E82">
        <w:rPr>
          <w:lang w:val="ru-RU"/>
        </w:rPr>
        <w:t>разрабатывает единый</w:t>
      </w:r>
      <w:r w:rsidR="00633EA0">
        <w:rPr>
          <w:lang w:val="ru-RU"/>
        </w:rPr>
        <w:t xml:space="preserve"> универсальный</w:t>
      </w:r>
      <w:r w:rsidRPr="00A06E82">
        <w:rPr>
          <w:lang w:val="ru-RU"/>
        </w:rPr>
        <w:t xml:space="preserve"> протокол передачи данных</w:t>
      </w:r>
      <w:r w:rsidR="00633EA0">
        <w:rPr>
          <w:lang w:val="ru-RU"/>
        </w:rPr>
        <w:t xml:space="preserve"> для бытовых приборов и корректоров объема газа</w:t>
      </w:r>
      <w:r w:rsidRPr="00A06E82">
        <w:rPr>
          <w:lang w:val="ru-RU"/>
        </w:rPr>
        <w:t xml:space="preserve">. </w:t>
      </w:r>
      <w:r>
        <w:rPr>
          <w:lang w:val="ru-RU"/>
        </w:rPr>
        <w:t>До конца 2026 года</w:t>
      </w:r>
      <w:r w:rsidRPr="00A06E82">
        <w:rPr>
          <w:lang w:val="ru-RU"/>
        </w:rPr>
        <w:t xml:space="preserve"> он будет доступен всем производителям и поставщи</w:t>
      </w:r>
      <w:r w:rsidRPr="00A06E82">
        <w:rPr>
          <w:lang w:val="ru-RU"/>
        </w:rPr>
        <w:t xml:space="preserve">кам приборов учета газа, планирующим интеграцию с платформой </w:t>
      </w:r>
      <w:r w:rsidRPr="00A06E82">
        <w:rPr>
          <w:lang w:val="ru-RU"/>
        </w:rPr>
        <w:t>АО «</w:t>
      </w:r>
      <w:r>
        <w:t>QazaqGaz</w:t>
      </w:r>
      <w:r w:rsidRPr="00A06E82">
        <w:rPr>
          <w:lang w:val="ru-RU"/>
        </w:rPr>
        <w:t xml:space="preserve"> </w:t>
      </w:r>
      <w:r>
        <w:t>Aimaq</w:t>
      </w:r>
      <w:r w:rsidRPr="00A06E82">
        <w:rPr>
          <w:lang w:val="ru-RU"/>
        </w:rPr>
        <w:t>»</w:t>
      </w:r>
      <w:r w:rsidRPr="00A06E82">
        <w:rPr>
          <w:lang w:val="ru-RU"/>
        </w:rPr>
        <w:t>.</w:t>
      </w:r>
      <w:r w:rsidRPr="00A06E82">
        <w:rPr>
          <w:lang w:val="ru-RU"/>
        </w:rPr>
        <w:t xml:space="preserve"> </w:t>
      </w:r>
      <w:r>
        <w:rPr>
          <w:lang w:val="ru-RU"/>
        </w:rPr>
        <w:t xml:space="preserve">Любой новый производитель </w:t>
      </w:r>
      <w:proofErr w:type="spellStart"/>
      <w:r w:rsidRPr="00A06E82">
        <w:rPr>
          <w:lang w:val="ru-RU"/>
        </w:rPr>
        <w:t>Производитель</w:t>
      </w:r>
      <w:proofErr w:type="spellEnd"/>
      <w:r w:rsidRPr="00A06E82">
        <w:rPr>
          <w:lang w:val="ru-RU"/>
        </w:rPr>
        <w:t xml:space="preserve"> вправе адаптировать оборудование к этому протоколу.</w:t>
      </w:r>
    </w:p>
    <w:p w:rsidR="000D34CD" w:rsidRPr="00A06E82" w:rsidRDefault="00A14592" w:rsidP="00A14592">
      <w:pPr>
        <w:ind w:firstLine="851"/>
        <w:jc w:val="both"/>
        <w:rPr>
          <w:lang w:val="ru-RU"/>
        </w:rPr>
      </w:pPr>
      <w:r w:rsidRPr="00A06E82">
        <w:rPr>
          <w:lang w:val="ru-RU"/>
        </w:rPr>
        <w:t>Для начала интеграции производитель или поставщик направляет в АО «</w:t>
      </w:r>
      <w:r>
        <w:t>QazaqGaz</w:t>
      </w:r>
      <w:r w:rsidRPr="00A06E82">
        <w:rPr>
          <w:lang w:val="ru-RU"/>
        </w:rPr>
        <w:t xml:space="preserve"> </w:t>
      </w:r>
      <w:r>
        <w:t>Aimaq</w:t>
      </w:r>
      <w:r w:rsidRPr="00A06E82">
        <w:rPr>
          <w:lang w:val="ru-RU"/>
        </w:rPr>
        <w:t xml:space="preserve">» письмо о </w:t>
      </w:r>
      <w:r w:rsidRPr="00A06E82">
        <w:rPr>
          <w:lang w:val="ru-RU"/>
        </w:rPr>
        <w:t>намерении провести интеграцию. После подписания соглашения о неразглашении стороны обмениваются необходимой технической документацией и проводят работы по настройке, проверке и запуску интеграции.</w:t>
      </w:r>
      <w:r>
        <w:rPr>
          <w:lang w:val="ru-RU"/>
        </w:rPr>
        <w:t xml:space="preserve"> При этом прибор учета обязательно должен быть в реестре СИ РК.</w:t>
      </w:r>
    </w:p>
    <w:p w:rsidR="000D34CD" w:rsidRPr="00A06E82" w:rsidRDefault="00A14592" w:rsidP="00A14592">
      <w:pPr>
        <w:spacing w:before="180"/>
        <w:ind w:firstLine="851"/>
        <w:rPr>
          <w:lang w:val="ru-RU"/>
        </w:rPr>
      </w:pPr>
      <w:r w:rsidRPr="00A06E82">
        <w:rPr>
          <w:color w:val="535B63"/>
          <w:sz w:val="18"/>
          <w:lang w:val="ru-RU"/>
        </w:rPr>
        <w:t>Основание: пункт 6 статьи 25 Закона Республики Казахстан «О</w:t>
      </w:r>
      <w:r w:rsidRPr="00A06E82">
        <w:rPr>
          <w:color w:val="535B63"/>
          <w:sz w:val="18"/>
          <w:lang w:val="ru-RU"/>
        </w:rPr>
        <w:t xml:space="preserve"> газе и газоснабжении» в редакции Закона Республики Казахстан от 24 июня 2026 года № 322-</w:t>
      </w:r>
      <w:r>
        <w:rPr>
          <w:color w:val="535B63"/>
          <w:sz w:val="18"/>
        </w:rPr>
        <w:t>VIII</w:t>
      </w:r>
      <w:r w:rsidRPr="00A06E82">
        <w:rPr>
          <w:color w:val="535B63"/>
          <w:sz w:val="18"/>
          <w:lang w:val="ru-RU"/>
        </w:rPr>
        <w:t xml:space="preserve"> ЗРК.</w:t>
      </w:r>
    </w:p>
    <w:sectPr w:rsidR="000D34CD" w:rsidRPr="00A06E82" w:rsidSect="00034616">
      <w:pgSz w:w="12240" w:h="15840"/>
      <w:pgMar w:top="1077" w:right="1134" w:bottom="1077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D34CD"/>
    <w:rsid w:val="0015074B"/>
    <w:rsid w:val="0029639D"/>
    <w:rsid w:val="00326F90"/>
    <w:rsid w:val="00633EA0"/>
    <w:rsid w:val="00A06E82"/>
    <w:rsid w:val="00A145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32029E"/>
  <w14:defaultImageDpi w14:val="300"/>
  <w15:docId w15:val="{D82107E6-9C8D-498F-8F39-5DC10533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 w:line="271" w:lineRule="auto"/>
    </w:pPr>
    <w:rPr>
      <w:rFonts w:ascii="Arial" w:hAnsi="Arial"/>
      <w:color w:val="1E273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192634"/>
      <w:sz w:val="2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220" w:line="240" w:lineRule="auto"/>
      <w:contextualSpacing/>
    </w:pPr>
    <w:rPr>
      <w:rFonts w:asciiTheme="majorHAnsi" w:eastAsiaTheme="majorEastAsia" w:hAnsiTheme="majorHAnsi" w:cstheme="majorBidi"/>
      <w:b/>
      <w:color w:val="192634"/>
      <w:spacing w:val="5"/>
      <w:kern w:val="28"/>
      <w:sz w:val="3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5BCB90A-2B22-4881-99EA-BEB38263E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723</Words>
  <Characters>4127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Порядок приемки и настройки приборов учета газа с дистанционной передачей данных</vt:lpstr>
      <vt:lpstr/>
    </vt:vector>
  </TitlesOfParts>
  <Manager/>
  <Company/>
  <LinksUpToDate>false</LinksUpToDate>
  <CharactersWithSpaces>4841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приемки и настройки приборов учета газа с дистанционной передачей данных</dc:title>
  <dc:subject>Новые подключения к газораспределительной системе</dc:subject>
  <dc:creator>python-docx</dc:creator>
  <cp:keywords/>
  <dc:description>generated by python-docx</dc:description>
  <cp:lastModifiedBy>2</cp:lastModifiedBy>
  <cp:revision>2</cp:revision>
  <dcterms:created xsi:type="dcterms:W3CDTF">2013-12-23T23:15:00Z</dcterms:created>
  <dcterms:modified xsi:type="dcterms:W3CDTF">2026-09-28T09:46:00Z</dcterms:modified>
  <cp:category/>
</cp:coreProperties>
</file>